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7F" w:rsidRPr="0033606C" w:rsidRDefault="0092237F" w:rsidP="001247C1">
      <w:pPr>
        <w:spacing w:after="0" w:line="240" w:lineRule="auto"/>
        <w:rPr>
          <w:rFonts w:ascii="Century Schoolbook" w:hAnsi="Century Schoolbook" w:cs="Times New Roman"/>
          <w:b/>
        </w:rPr>
      </w:pPr>
      <w:r w:rsidRPr="0033606C">
        <w:rPr>
          <w:rFonts w:ascii="Century Schoolbook" w:hAnsi="Century Schoolbook" w:cs="Times New Roman"/>
          <w:b/>
        </w:rPr>
        <w:t>Oversight Victory: Tax Regulations Now Subject to OMB Review</w:t>
      </w:r>
    </w:p>
    <w:p w:rsidR="0092237F" w:rsidRPr="0033606C" w:rsidRDefault="0092237F" w:rsidP="001247C1">
      <w:pPr>
        <w:spacing w:after="0" w:line="240" w:lineRule="auto"/>
        <w:rPr>
          <w:rFonts w:ascii="Century Schoolbook" w:hAnsi="Century Schoolbook" w:cs="Times New Roman"/>
        </w:rPr>
      </w:pPr>
    </w:p>
    <w:p w:rsidR="00A56577" w:rsidRDefault="0092237F" w:rsidP="001247C1">
      <w:pPr>
        <w:spacing w:after="0" w:line="240" w:lineRule="auto"/>
        <w:rPr>
          <w:rFonts w:ascii="Century Schoolbook" w:hAnsi="Century Schoolbook" w:cs="Times New Roman"/>
        </w:rPr>
      </w:pPr>
      <w:r w:rsidRPr="0033606C">
        <w:rPr>
          <w:rFonts w:ascii="Century Schoolbook" w:hAnsi="Century Schoolbook" w:cs="Times New Roman"/>
        </w:rPr>
        <w:t xml:space="preserve">In a major win for oversight and </w:t>
      </w:r>
      <w:hyperlink r:id="rId6" w:history="1">
        <w:r w:rsidRPr="0033606C">
          <w:rPr>
            <w:rStyle w:val="Hyperlink"/>
            <w:rFonts w:ascii="Century Schoolbook" w:hAnsi="Century Schoolbook" w:cs="Times New Roman"/>
          </w:rPr>
          <w:t>constitutional governance</w:t>
        </w:r>
      </w:hyperlink>
      <w:r w:rsidRPr="0033606C">
        <w:rPr>
          <w:rFonts w:ascii="Century Schoolbook" w:hAnsi="Century Schoolbook" w:cs="Times New Roman"/>
        </w:rPr>
        <w:t xml:space="preserve">, the White House Office of Management and Budget (“OMB”) and the Department of the Treasury have scrapped a decades-old agreement </w:t>
      </w:r>
      <w:r w:rsidR="0033606C" w:rsidRPr="0033606C">
        <w:rPr>
          <w:rFonts w:ascii="Century Schoolbook" w:hAnsi="Century Schoolbook" w:cs="Times New Roman"/>
        </w:rPr>
        <w:t xml:space="preserve">that </w:t>
      </w:r>
      <w:r w:rsidRPr="0033606C">
        <w:rPr>
          <w:rFonts w:ascii="Century Schoolbook" w:hAnsi="Century Schoolbook" w:cs="Times New Roman"/>
        </w:rPr>
        <w:t>exempt</w:t>
      </w:r>
      <w:r w:rsidR="0033606C" w:rsidRPr="0033606C">
        <w:rPr>
          <w:rFonts w:ascii="Century Schoolbook" w:hAnsi="Century Schoolbook" w:cs="Times New Roman"/>
        </w:rPr>
        <w:t>ed many</w:t>
      </w:r>
      <w:r w:rsidRPr="0033606C">
        <w:rPr>
          <w:rFonts w:ascii="Century Schoolbook" w:hAnsi="Century Schoolbook" w:cs="Times New Roman"/>
        </w:rPr>
        <w:t xml:space="preserve"> tax regulations from independent review</w:t>
      </w:r>
      <w:r w:rsidR="0033606C" w:rsidRPr="0033606C">
        <w:rPr>
          <w:rFonts w:ascii="Century Schoolbook" w:hAnsi="Century Schoolbook" w:cs="Times New Roman"/>
        </w:rPr>
        <w:t xml:space="preserve"> and oversight</w:t>
      </w:r>
      <w:r w:rsidRPr="0033606C">
        <w:rPr>
          <w:rFonts w:ascii="Century Schoolbook" w:hAnsi="Century Schoolbook" w:cs="Times New Roman"/>
        </w:rPr>
        <w:t>.  In its place</w:t>
      </w:r>
      <w:r w:rsidR="0033606C" w:rsidRPr="0033606C">
        <w:rPr>
          <w:rFonts w:ascii="Century Schoolbook" w:hAnsi="Century Schoolbook" w:cs="Times New Roman"/>
        </w:rPr>
        <w:t>,</w:t>
      </w:r>
      <w:r w:rsidRPr="0033606C">
        <w:rPr>
          <w:rFonts w:ascii="Century Schoolbook" w:hAnsi="Century Schoolbook" w:cs="Times New Roman"/>
        </w:rPr>
        <w:t xml:space="preserve"> the agencies have set up a </w:t>
      </w:r>
      <w:hyperlink r:id="rId7" w:history="1">
        <w:r w:rsidRPr="0033606C">
          <w:rPr>
            <w:rStyle w:val="Hyperlink"/>
            <w:rFonts w:ascii="Century Schoolbook" w:hAnsi="Century Schoolbook" w:cs="Times New Roman"/>
          </w:rPr>
          <w:t>new agreement</w:t>
        </w:r>
      </w:hyperlink>
      <w:r w:rsidRPr="0033606C">
        <w:rPr>
          <w:rFonts w:ascii="Century Schoolbook" w:hAnsi="Century Schoolbook" w:cs="Times New Roman"/>
        </w:rPr>
        <w:t xml:space="preserve"> that requires Treasury to submit </w:t>
      </w:r>
      <w:r w:rsidR="00D5507B" w:rsidRPr="0033606C">
        <w:rPr>
          <w:rFonts w:ascii="Century Schoolbook" w:hAnsi="Century Schoolbook" w:cs="Times New Roman"/>
        </w:rPr>
        <w:t xml:space="preserve">important </w:t>
      </w:r>
      <w:r w:rsidRPr="0033606C">
        <w:rPr>
          <w:rFonts w:ascii="Century Schoolbook" w:hAnsi="Century Schoolbook" w:cs="Times New Roman"/>
        </w:rPr>
        <w:t xml:space="preserve">tax regulations to OMB’s Office of Information and Regulatory Affairs (“OIRA”) for review pursuant to </w:t>
      </w:r>
      <w:hyperlink r:id="rId8" w:history="1">
        <w:r w:rsidRPr="0033606C">
          <w:rPr>
            <w:rStyle w:val="Hyperlink"/>
            <w:rFonts w:ascii="Century Schoolbook" w:hAnsi="Century Schoolbook" w:cs="Times New Roman"/>
          </w:rPr>
          <w:t>Executive Order 12,866</w:t>
        </w:r>
      </w:hyperlink>
      <w:r w:rsidR="00A56577">
        <w:rPr>
          <w:rFonts w:ascii="Century Schoolbook" w:hAnsi="Century Schoolbook" w:cs="Times New Roman"/>
        </w:rPr>
        <w:t xml:space="preserve"> (“EO 12,866”) </w:t>
      </w:r>
      <w:r w:rsidRPr="0033606C">
        <w:rPr>
          <w:rFonts w:ascii="Century Schoolbook" w:hAnsi="Century Schoolbook" w:cs="Times New Roman"/>
        </w:rPr>
        <w:t>just like nearly every other agency.</w:t>
      </w:r>
      <w:r w:rsidR="00D5507B" w:rsidRPr="0033606C">
        <w:rPr>
          <w:rFonts w:ascii="Century Schoolbook" w:hAnsi="Century Schoolbook" w:cs="Times New Roman"/>
        </w:rPr>
        <w:t xml:space="preserve">  </w:t>
      </w:r>
    </w:p>
    <w:p w:rsidR="00A56577" w:rsidRDefault="00A56577" w:rsidP="001247C1">
      <w:pPr>
        <w:spacing w:after="0" w:line="240" w:lineRule="auto"/>
        <w:rPr>
          <w:rFonts w:ascii="Century Schoolbook" w:hAnsi="Century Schoolbook" w:cs="Times New Roman"/>
        </w:rPr>
      </w:pPr>
    </w:p>
    <w:p w:rsidR="00315057" w:rsidRPr="0033606C" w:rsidRDefault="00A56577" w:rsidP="001247C1">
      <w:pPr>
        <w:spacing w:after="0" w:line="240" w:lineRule="auto"/>
        <w:rPr>
          <w:rFonts w:ascii="Century Schoolbook" w:hAnsi="Century Schoolbook" w:cs="Times New Roman"/>
        </w:rPr>
      </w:pPr>
      <w:r>
        <w:rPr>
          <w:rFonts w:ascii="Century Schoolbook" w:hAnsi="Century Schoolbook" w:cs="Times New Roman"/>
        </w:rPr>
        <w:t xml:space="preserve">This change came after an </w:t>
      </w:r>
      <w:hyperlink r:id="rId9" w:history="1">
        <w:r w:rsidRPr="00A56577">
          <w:rPr>
            <w:rStyle w:val="Hyperlink"/>
            <w:rFonts w:ascii="Century Schoolbook" w:hAnsi="Century Schoolbook" w:cs="Times New Roman"/>
          </w:rPr>
          <w:t>investigative report</w:t>
        </w:r>
      </w:hyperlink>
      <w:r>
        <w:rPr>
          <w:rFonts w:ascii="Century Schoolbook" w:hAnsi="Century Schoolbook" w:cs="Times New Roman"/>
        </w:rPr>
        <w:t xml:space="preserve"> from Cause of Action Institute and a </w:t>
      </w:r>
      <w:hyperlink r:id="rId10" w:history="1">
        <w:r w:rsidRPr="00A56577">
          <w:rPr>
            <w:rStyle w:val="Hyperlink"/>
            <w:rFonts w:ascii="Century Schoolbook" w:hAnsi="Century Schoolbook" w:cs="Times New Roman"/>
          </w:rPr>
          <w:t>sustained campaign</w:t>
        </w:r>
      </w:hyperlink>
      <w:r>
        <w:rPr>
          <w:rFonts w:ascii="Century Schoolbook" w:hAnsi="Century Schoolbook" w:cs="Times New Roman"/>
        </w:rPr>
        <w:t xml:space="preserve"> over the past few months from </w:t>
      </w:r>
      <w:hyperlink r:id="rId11" w:history="1">
        <w:r w:rsidRPr="00A56577">
          <w:rPr>
            <w:rStyle w:val="Hyperlink"/>
            <w:rFonts w:ascii="Century Schoolbook" w:hAnsi="Century Schoolbook" w:cs="Times New Roman"/>
          </w:rPr>
          <w:t>supporters</w:t>
        </w:r>
      </w:hyperlink>
      <w:r>
        <w:rPr>
          <w:rFonts w:ascii="Century Schoolbook" w:hAnsi="Century Schoolbook" w:cs="Times New Roman"/>
        </w:rPr>
        <w:t xml:space="preserve"> of OIRA review.  </w:t>
      </w:r>
      <w:r w:rsidR="00D5507B" w:rsidRPr="0033606C">
        <w:rPr>
          <w:rFonts w:ascii="Century Schoolbook" w:hAnsi="Century Schoolbook" w:cs="Times New Roman"/>
        </w:rPr>
        <w:t xml:space="preserve">From a transparency perspective, this agreement is already an improvement because it has been </w:t>
      </w:r>
      <w:r w:rsidR="0033606C" w:rsidRPr="0033606C">
        <w:rPr>
          <w:rFonts w:ascii="Century Schoolbook" w:hAnsi="Century Schoolbook" w:cs="Times New Roman"/>
        </w:rPr>
        <w:t xml:space="preserve">announced </w:t>
      </w:r>
      <w:r w:rsidR="005F66A8" w:rsidRPr="0033606C">
        <w:rPr>
          <w:rFonts w:ascii="Century Schoolbook" w:hAnsi="Century Schoolbook" w:cs="Times New Roman"/>
        </w:rPr>
        <w:t>publicly</w:t>
      </w:r>
      <w:r w:rsidR="00D5507B" w:rsidRPr="0033606C">
        <w:rPr>
          <w:rFonts w:ascii="Century Schoolbook" w:hAnsi="Century Schoolbook" w:cs="Times New Roman"/>
        </w:rPr>
        <w:t>, posted on Treasury’s website, and not kept secret for thirty-five years, like the previous agreement.</w:t>
      </w:r>
    </w:p>
    <w:p w:rsidR="0092237F" w:rsidRPr="0033606C" w:rsidRDefault="0092237F" w:rsidP="001247C1">
      <w:pPr>
        <w:spacing w:after="0" w:line="240" w:lineRule="auto"/>
        <w:rPr>
          <w:rFonts w:ascii="Century Schoolbook" w:hAnsi="Century Schoolbook" w:cs="Times New Roman"/>
        </w:rPr>
      </w:pPr>
    </w:p>
    <w:p w:rsidR="000573B1" w:rsidRPr="0033606C" w:rsidRDefault="000573B1" w:rsidP="001247C1">
      <w:pPr>
        <w:spacing w:after="0" w:line="240" w:lineRule="auto"/>
        <w:rPr>
          <w:rFonts w:ascii="Century Schoolbook" w:hAnsi="Century Schoolbook" w:cs="Times New Roman"/>
          <w:b/>
        </w:rPr>
      </w:pPr>
      <w:r w:rsidRPr="0033606C">
        <w:rPr>
          <w:rFonts w:ascii="Century Schoolbook" w:hAnsi="Century Schoolbook" w:cs="Times New Roman"/>
          <w:b/>
        </w:rPr>
        <w:t>The New Memorandum of Agreement</w:t>
      </w:r>
    </w:p>
    <w:p w:rsidR="000573B1" w:rsidRPr="0033606C" w:rsidRDefault="000573B1" w:rsidP="001247C1">
      <w:pPr>
        <w:spacing w:after="0" w:line="240" w:lineRule="auto"/>
        <w:rPr>
          <w:rFonts w:ascii="Century Schoolbook" w:hAnsi="Century Schoolbook" w:cs="Times New Roman"/>
        </w:rPr>
      </w:pPr>
    </w:p>
    <w:p w:rsidR="0092237F" w:rsidRPr="0033606C" w:rsidRDefault="0092237F" w:rsidP="001247C1">
      <w:pPr>
        <w:spacing w:after="0" w:line="240" w:lineRule="auto"/>
        <w:rPr>
          <w:rFonts w:ascii="Century Schoolbook" w:hAnsi="Century Schoolbook" w:cs="Times New Roman"/>
        </w:rPr>
      </w:pPr>
      <w:r w:rsidRPr="0033606C">
        <w:rPr>
          <w:rFonts w:ascii="Century Schoolbook" w:hAnsi="Century Schoolbook" w:cs="Times New Roman"/>
        </w:rPr>
        <w:t xml:space="preserve">The new agreement will </w:t>
      </w:r>
      <w:r w:rsidR="00D5507B" w:rsidRPr="0033606C">
        <w:rPr>
          <w:rFonts w:ascii="Century Schoolbook" w:hAnsi="Century Schoolbook" w:cs="Times New Roman"/>
        </w:rPr>
        <w:t xml:space="preserve">require Treasury to submit the </w:t>
      </w:r>
      <w:r w:rsidR="0033606C" w:rsidRPr="0033606C">
        <w:rPr>
          <w:rFonts w:ascii="Century Schoolbook" w:hAnsi="Century Schoolbook" w:cs="Times New Roman"/>
        </w:rPr>
        <w:t xml:space="preserve">following </w:t>
      </w:r>
      <w:r w:rsidRPr="0033606C">
        <w:rPr>
          <w:rFonts w:ascii="Century Schoolbook" w:hAnsi="Century Schoolbook" w:cs="Times New Roman"/>
        </w:rPr>
        <w:t>categories of tax regulations</w:t>
      </w:r>
      <w:r w:rsidR="00D5507B" w:rsidRPr="0033606C">
        <w:rPr>
          <w:rFonts w:ascii="Century Schoolbook" w:hAnsi="Century Schoolbook" w:cs="Times New Roman"/>
        </w:rPr>
        <w:t xml:space="preserve"> to OIRA for review</w:t>
      </w:r>
      <w:r w:rsidRPr="0033606C">
        <w:rPr>
          <w:rFonts w:ascii="Century Schoolbook" w:hAnsi="Century Schoolbook" w:cs="Times New Roman"/>
        </w:rPr>
        <w:t>:</w:t>
      </w:r>
    </w:p>
    <w:p w:rsidR="0092237F" w:rsidRPr="0033606C" w:rsidRDefault="0092237F" w:rsidP="001247C1">
      <w:pPr>
        <w:spacing w:after="0" w:line="240" w:lineRule="auto"/>
        <w:rPr>
          <w:rFonts w:ascii="Century Schoolbook" w:hAnsi="Century Schoolbook" w:cs="Times New Roman"/>
        </w:rPr>
      </w:pPr>
      <w:r w:rsidRPr="0033606C">
        <w:rPr>
          <w:rFonts w:ascii="Century Schoolbook" w:hAnsi="Century Schoolbook" w:cs="Times New Roman"/>
          <w:noProof/>
        </w:rPr>
        <w:drawing>
          <wp:inline distT="0" distB="0" distL="0" distR="0">
            <wp:extent cx="5939790" cy="1797050"/>
            <wp:effectExtent l="0" t="0" r="3810" b="0"/>
            <wp:docPr id="1" name="Picture 1" descr="C:\Users\James.Valvo\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Valvo\Desktop\downloa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797050"/>
                    </a:xfrm>
                    <a:prstGeom prst="rect">
                      <a:avLst/>
                    </a:prstGeom>
                    <a:noFill/>
                    <a:ln>
                      <a:noFill/>
                    </a:ln>
                  </pic:spPr>
                </pic:pic>
              </a:graphicData>
            </a:graphic>
          </wp:inline>
        </w:drawing>
      </w:r>
    </w:p>
    <w:p w:rsidR="00481B35" w:rsidRPr="0033606C" w:rsidRDefault="0092237F" w:rsidP="001247C1">
      <w:pPr>
        <w:spacing w:after="0" w:line="240" w:lineRule="auto"/>
        <w:rPr>
          <w:rFonts w:ascii="Century Schoolbook" w:hAnsi="Century Schoolbook" w:cs="Times New Roman"/>
        </w:rPr>
      </w:pPr>
      <w:r w:rsidRPr="0033606C">
        <w:rPr>
          <w:rFonts w:ascii="Century Schoolbook" w:hAnsi="Century Schoolbook" w:cs="Times New Roman"/>
        </w:rPr>
        <w:t xml:space="preserve">All three categories are well conceived.  First, one of the main focuses of OIRA review has always been interagency </w:t>
      </w:r>
      <w:r w:rsidR="00481B35" w:rsidRPr="0033606C">
        <w:rPr>
          <w:rFonts w:ascii="Century Schoolbook" w:hAnsi="Century Schoolbook" w:cs="Times New Roman"/>
        </w:rPr>
        <w:t>consultation</w:t>
      </w:r>
      <w:r w:rsidRPr="0033606C">
        <w:rPr>
          <w:rFonts w:ascii="Century Schoolbook" w:hAnsi="Century Schoolbook" w:cs="Times New Roman"/>
        </w:rPr>
        <w:t>.</w:t>
      </w:r>
      <w:r w:rsidR="00481B35" w:rsidRPr="0033606C">
        <w:rPr>
          <w:rFonts w:ascii="Century Schoolbook" w:hAnsi="Century Schoolbook" w:cs="Times New Roman"/>
        </w:rPr>
        <w:t xml:space="preserve">  </w:t>
      </w:r>
      <w:r w:rsidRPr="0033606C">
        <w:rPr>
          <w:rFonts w:ascii="Century Schoolbook" w:hAnsi="Century Schoolbook" w:cs="Times New Roman"/>
        </w:rPr>
        <w:t xml:space="preserve">And IRS rules can overlap with rules from the Department of Labor and, increasingly in the wake of the Affordable Care Act, the Department of Health and Human Services.  Allowing </w:t>
      </w:r>
      <w:r w:rsidR="00481B35" w:rsidRPr="0033606C">
        <w:rPr>
          <w:rFonts w:ascii="Century Schoolbook" w:hAnsi="Century Schoolbook" w:cs="Times New Roman"/>
        </w:rPr>
        <w:t xml:space="preserve">those and </w:t>
      </w:r>
      <w:r w:rsidRPr="0033606C">
        <w:rPr>
          <w:rFonts w:ascii="Century Schoolbook" w:hAnsi="Century Schoolbook" w:cs="Times New Roman"/>
        </w:rPr>
        <w:t xml:space="preserve">other agencies to weigh in on </w:t>
      </w:r>
      <w:r w:rsidR="00481B35" w:rsidRPr="0033606C">
        <w:rPr>
          <w:rFonts w:ascii="Century Schoolbook" w:hAnsi="Century Schoolbook" w:cs="Times New Roman"/>
        </w:rPr>
        <w:t>proposed tax regulations is</w:t>
      </w:r>
      <w:r w:rsidRPr="0033606C">
        <w:rPr>
          <w:rFonts w:ascii="Century Schoolbook" w:hAnsi="Century Schoolbook" w:cs="Times New Roman"/>
        </w:rPr>
        <w:t xml:space="preserve"> </w:t>
      </w:r>
      <w:r w:rsidR="00481B35" w:rsidRPr="0033606C">
        <w:rPr>
          <w:rFonts w:ascii="Century Schoolbook" w:hAnsi="Century Schoolbook" w:cs="Times New Roman"/>
        </w:rPr>
        <w:t xml:space="preserve">an </w:t>
      </w:r>
      <w:r w:rsidRPr="0033606C">
        <w:rPr>
          <w:rFonts w:ascii="Century Schoolbook" w:hAnsi="Century Schoolbook" w:cs="Times New Roman"/>
        </w:rPr>
        <w:t>appropriate</w:t>
      </w:r>
      <w:r w:rsidR="00481B35" w:rsidRPr="0033606C">
        <w:rPr>
          <w:rFonts w:ascii="Century Schoolbook" w:hAnsi="Century Schoolbook" w:cs="Times New Roman"/>
        </w:rPr>
        <w:t xml:space="preserve"> and necessary level of oversight</w:t>
      </w:r>
      <w:r w:rsidR="005F66A8">
        <w:rPr>
          <w:rFonts w:ascii="Century Schoolbook" w:hAnsi="Century Schoolbook" w:cs="Times New Roman"/>
        </w:rPr>
        <w:t>, and can lead to better policy</w:t>
      </w:r>
      <w:r w:rsidR="00A56577">
        <w:rPr>
          <w:rFonts w:ascii="Century Schoolbook" w:hAnsi="Century Schoolbook" w:cs="Times New Roman"/>
        </w:rPr>
        <w:t>making</w:t>
      </w:r>
      <w:r w:rsidRPr="0033606C">
        <w:rPr>
          <w:rFonts w:ascii="Century Schoolbook" w:hAnsi="Century Schoolbook" w:cs="Times New Roman"/>
        </w:rPr>
        <w:t>.</w:t>
      </w:r>
      <w:r w:rsidR="00D5507B" w:rsidRPr="0033606C">
        <w:rPr>
          <w:rFonts w:ascii="Century Schoolbook" w:hAnsi="Century Schoolbook" w:cs="Times New Roman"/>
        </w:rPr>
        <w:t xml:space="preserve">  At the </w:t>
      </w:r>
      <w:hyperlink r:id="rId13" w:history="1">
        <w:r w:rsidR="00D5507B" w:rsidRPr="0033606C">
          <w:rPr>
            <w:rStyle w:val="Hyperlink"/>
            <w:rFonts w:ascii="Century Schoolbook" w:hAnsi="Century Schoolbook" w:cs="Times New Roman"/>
          </w:rPr>
          <w:t>Senate hearing</w:t>
        </w:r>
      </w:hyperlink>
      <w:r w:rsidR="00D5507B" w:rsidRPr="0033606C">
        <w:rPr>
          <w:rFonts w:ascii="Century Schoolbook" w:hAnsi="Century Schoolbook" w:cs="Times New Roman"/>
        </w:rPr>
        <w:t xml:space="preserve"> where the agreement was unveiled, Senator Lankford asked Treasury General Counsel Brent McIntosh who will make the determination of whether a new rule is likely to create a conflict</w:t>
      </w:r>
      <w:r w:rsidR="0033606C" w:rsidRPr="0033606C">
        <w:rPr>
          <w:rFonts w:ascii="Century Schoolbook" w:hAnsi="Century Schoolbook" w:cs="Times New Roman"/>
        </w:rPr>
        <w:t xml:space="preserve"> with another agency</w:t>
      </w:r>
      <w:r w:rsidR="00D5507B" w:rsidRPr="0033606C">
        <w:rPr>
          <w:rFonts w:ascii="Century Schoolbook" w:hAnsi="Century Schoolbook" w:cs="Times New Roman"/>
        </w:rPr>
        <w:t>.</w:t>
      </w:r>
      <w:r w:rsidR="0033606C" w:rsidRPr="0033606C">
        <w:rPr>
          <w:rFonts w:ascii="Century Schoolbook" w:hAnsi="Century Schoolbook" w:cs="Times New Roman"/>
        </w:rPr>
        <w:t xml:space="preserve">  </w:t>
      </w:r>
      <w:r w:rsidR="00D5507B" w:rsidRPr="0033606C">
        <w:rPr>
          <w:rFonts w:ascii="Century Schoolbook" w:hAnsi="Century Schoolbook" w:cs="Times New Roman"/>
        </w:rPr>
        <w:t xml:space="preserve">McIntosh </w:t>
      </w:r>
      <w:r w:rsidR="0033606C" w:rsidRPr="0033606C">
        <w:rPr>
          <w:rFonts w:ascii="Century Schoolbook" w:hAnsi="Century Schoolbook" w:cs="Times New Roman"/>
        </w:rPr>
        <w:t>replied</w:t>
      </w:r>
      <w:r w:rsidR="00D5507B" w:rsidRPr="0033606C">
        <w:rPr>
          <w:rFonts w:ascii="Century Schoolbook" w:hAnsi="Century Schoolbook" w:cs="Times New Roman"/>
        </w:rPr>
        <w:t xml:space="preserve"> that</w:t>
      </w:r>
      <w:r w:rsidR="00A56577">
        <w:rPr>
          <w:rFonts w:ascii="Century Schoolbook" w:hAnsi="Century Schoolbook" w:cs="Times New Roman"/>
        </w:rPr>
        <w:t>,</w:t>
      </w:r>
      <w:r w:rsidR="00D5507B" w:rsidRPr="0033606C">
        <w:rPr>
          <w:rFonts w:ascii="Century Schoolbook" w:hAnsi="Century Schoolbook" w:cs="Times New Roman"/>
        </w:rPr>
        <w:t xml:space="preserve"> under the agreement</w:t>
      </w:r>
      <w:r w:rsidR="00A56577">
        <w:rPr>
          <w:rFonts w:ascii="Century Schoolbook" w:hAnsi="Century Schoolbook" w:cs="Times New Roman"/>
        </w:rPr>
        <w:t>,</w:t>
      </w:r>
      <w:r w:rsidR="00D5507B" w:rsidRPr="0033606C">
        <w:rPr>
          <w:rFonts w:ascii="Century Schoolbook" w:hAnsi="Century Schoolbook" w:cs="Times New Roman"/>
        </w:rPr>
        <w:t xml:space="preserve"> Treasury will submit a list of rules to OIRA on a quarterly basis and OIRA will then be in a position to flag rules that may </w:t>
      </w:r>
      <w:r w:rsidR="0033606C" w:rsidRPr="0033606C">
        <w:rPr>
          <w:rFonts w:ascii="Century Schoolbook" w:hAnsi="Century Schoolbook" w:cs="Times New Roman"/>
        </w:rPr>
        <w:t xml:space="preserve">create a </w:t>
      </w:r>
      <w:r w:rsidR="00D5507B" w:rsidRPr="0033606C">
        <w:rPr>
          <w:rFonts w:ascii="Century Schoolbook" w:hAnsi="Century Schoolbook" w:cs="Times New Roman"/>
        </w:rPr>
        <w:t>conflict.</w:t>
      </w:r>
    </w:p>
    <w:p w:rsidR="00481B35" w:rsidRPr="0033606C" w:rsidRDefault="00481B35" w:rsidP="001247C1">
      <w:pPr>
        <w:spacing w:after="0" w:line="240" w:lineRule="auto"/>
        <w:rPr>
          <w:rFonts w:ascii="Century Schoolbook" w:hAnsi="Century Schoolbook" w:cs="Times New Roman"/>
        </w:rPr>
      </w:pPr>
    </w:p>
    <w:p w:rsidR="0092237F" w:rsidRPr="0033606C" w:rsidRDefault="0092237F" w:rsidP="001247C1">
      <w:pPr>
        <w:spacing w:after="0" w:line="240" w:lineRule="auto"/>
        <w:rPr>
          <w:rFonts w:ascii="Century Schoolbook" w:hAnsi="Century Schoolbook" w:cs="Times New Roman"/>
        </w:rPr>
      </w:pPr>
      <w:r w:rsidRPr="0033606C">
        <w:rPr>
          <w:rFonts w:ascii="Century Schoolbook" w:hAnsi="Century Schoolbook" w:cs="Times New Roman"/>
        </w:rPr>
        <w:t xml:space="preserve">Second, </w:t>
      </w:r>
      <w:r w:rsidR="00D5507B" w:rsidRPr="0033606C">
        <w:rPr>
          <w:rFonts w:ascii="Century Schoolbook" w:hAnsi="Century Schoolbook" w:cs="Times New Roman"/>
        </w:rPr>
        <w:t xml:space="preserve">Treasury will send OIRA </w:t>
      </w:r>
      <w:r w:rsidRPr="0033606C">
        <w:rPr>
          <w:rFonts w:ascii="Century Schoolbook" w:hAnsi="Century Schoolbook" w:cs="Times New Roman"/>
        </w:rPr>
        <w:t>tax regulations that raise novel legal or policy issues</w:t>
      </w:r>
      <w:r w:rsidR="00D5507B" w:rsidRPr="0033606C">
        <w:rPr>
          <w:rFonts w:ascii="Century Schoolbook" w:hAnsi="Century Schoolbook" w:cs="Times New Roman"/>
        </w:rPr>
        <w:t>.  These are exactly the type of rules</w:t>
      </w:r>
      <w:r w:rsidRPr="0033606C">
        <w:rPr>
          <w:rFonts w:ascii="Century Schoolbook" w:hAnsi="Century Schoolbook" w:cs="Times New Roman"/>
        </w:rPr>
        <w:t xml:space="preserve"> should not be decided in a vacuum</w:t>
      </w:r>
      <w:r w:rsidR="00D5507B" w:rsidRPr="0033606C">
        <w:rPr>
          <w:rFonts w:ascii="Century Schoolbook" w:hAnsi="Century Schoolbook" w:cs="Times New Roman"/>
        </w:rPr>
        <w:t xml:space="preserve"> and w</w:t>
      </w:r>
      <w:r w:rsidRPr="0033606C">
        <w:rPr>
          <w:rFonts w:ascii="Century Schoolbook" w:hAnsi="Century Schoolbook" w:cs="Times New Roman"/>
        </w:rPr>
        <w:t>hen independent review from OIRA and others can provide a fresh look at novel questions.</w:t>
      </w:r>
      <w:r w:rsidR="00D5507B" w:rsidRPr="0033606C">
        <w:rPr>
          <w:rFonts w:ascii="Century Schoolbook" w:hAnsi="Century Schoolbook" w:cs="Times New Roman"/>
        </w:rPr>
        <w:t xml:space="preserve">  This is also an existing category of rules that are covered by </w:t>
      </w:r>
      <w:hyperlink r:id="rId14" w:history="1">
        <w:r w:rsidR="00D5507B" w:rsidRPr="0033606C">
          <w:rPr>
            <w:rStyle w:val="Hyperlink"/>
            <w:rFonts w:ascii="Century Schoolbook" w:hAnsi="Century Schoolbook" w:cs="Times New Roman"/>
          </w:rPr>
          <w:t>E</w:t>
        </w:r>
        <w:r w:rsidR="00A56577">
          <w:rPr>
            <w:rStyle w:val="Hyperlink"/>
            <w:rFonts w:ascii="Century Schoolbook" w:hAnsi="Century Schoolbook" w:cs="Times New Roman"/>
          </w:rPr>
          <w:t>O</w:t>
        </w:r>
        <w:r w:rsidR="00D5507B" w:rsidRPr="0033606C">
          <w:rPr>
            <w:rStyle w:val="Hyperlink"/>
            <w:rFonts w:ascii="Century Schoolbook" w:hAnsi="Century Schoolbook" w:cs="Times New Roman"/>
          </w:rPr>
          <w:t xml:space="preserve"> 12,866</w:t>
        </w:r>
      </w:hyperlink>
      <w:r w:rsidR="00D5507B" w:rsidRPr="0033606C">
        <w:rPr>
          <w:rFonts w:ascii="Century Schoolbook" w:hAnsi="Century Schoolbook" w:cs="Times New Roman"/>
        </w:rPr>
        <w:t xml:space="preserve"> and so it makes sense to include tax regulations in this existing mandate.</w:t>
      </w:r>
      <w:r w:rsidRPr="0033606C">
        <w:rPr>
          <w:rFonts w:ascii="Century Schoolbook" w:hAnsi="Century Schoolbook" w:cs="Times New Roman"/>
        </w:rPr>
        <w:t xml:space="preserve">  </w:t>
      </w:r>
    </w:p>
    <w:p w:rsidR="0092237F" w:rsidRPr="0033606C" w:rsidRDefault="0092237F" w:rsidP="001247C1">
      <w:pPr>
        <w:spacing w:after="0" w:line="240" w:lineRule="auto"/>
        <w:rPr>
          <w:rFonts w:ascii="Century Schoolbook" w:hAnsi="Century Schoolbook" w:cs="Times New Roman"/>
        </w:rPr>
      </w:pPr>
    </w:p>
    <w:p w:rsidR="0092237F" w:rsidRPr="0033606C" w:rsidRDefault="0092237F" w:rsidP="001247C1">
      <w:pPr>
        <w:spacing w:after="0" w:line="240" w:lineRule="auto"/>
        <w:rPr>
          <w:rFonts w:ascii="Century Schoolbook" w:hAnsi="Century Schoolbook" w:cs="Times New Roman"/>
        </w:rPr>
      </w:pPr>
      <w:r w:rsidRPr="0033606C">
        <w:rPr>
          <w:rFonts w:ascii="Century Schoolbook" w:hAnsi="Century Schoolbook" w:cs="Times New Roman"/>
        </w:rPr>
        <w:lastRenderedPageBreak/>
        <w:t xml:space="preserve">Third, and finally, the new agreement </w:t>
      </w:r>
      <w:r w:rsidR="00D5507B" w:rsidRPr="0033606C">
        <w:rPr>
          <w:rFonts w:ascii="Century Schoolbook" w:hAnsi="Century Schoolbook" w:cs="Times New Roman"/>
        </w:rPr>
        <w:t xml:space="preserve">includes tax regulations that </w:t>
      </w:r>
      <w:r w:rsidR="0033606C" w:rsidRPr="0033606C">
        <w:rPr>
          <w:rFonts w:ascii="Century Schoolbook" w:hAnsi="Century Schoolbook" w:cs="Times New Roman"/>
        </w:rPr>
        <w:t xml:space="preserve">are likely to </w:t>
      </w:r>
      <w:r w:rsidR="00D5507B" w:rsidRPr="0033606C">
        <w:rPr>
          <w:rFonts w:ascii="Century Schoolbook" w:hAnsi="Century Schoolbook" w:cs="Times New Roman"/>
        </w:rPr>
        <w:t xml:space="preserve">have an annual </w:t>
      </w:r>
      <w:r w:rsidR="00D5507B" w:rsidRPr="005F66A8">
        <w:rPr>
          <w:rFonts w:ascii="Century Schoolbook" w:hAnsi="Century Schoolbook" w:cs="Times New Roman"/>
          <w:b/>
          <w:i/>
        </w:rPr>
        <w:t>non-revenue</w:t>
      </w:r>
      <w:r w:rsidR="00D5507B" w:rsidRPr="0033606C">
        <w:rPr>
          <w:rFonts w:ascii="Century Schoolbook" w:hAnsi="Century Schoolbook" w:cs="Times New Roman"/>
        </w:rPr>
        <w:t xml:space="preserve"> impact on the economy of $100 million or more.  This is the existing threshold for significant regulatory actions for other agencies.  The agreement mak</w:t>
      </w:r>
      <w:r w:rsidR="0033606C" w:rsidRPr="0033606C">
        <w:rPr>
          <w:rFonts w:ascii="Century Schoolbook" w:hAnsi="Century Schoolbook" w:cs="Times New Roman"/>
        </w:rPr>
        <w:t>es a</w:t>
      </w:r>
      <w:r w:rsidR="00D5507B" w:rsidRPr="0033606C">
        <w:rPr>
          <w:rFonts w:ascii="Century Schoolbook" w:hAnsi="Century Schoolbook" w:cs="Times New Roman"/>
        </w:rPr>
        <w:t xml:space="preserve"> distinction for the “non-revenue” impact of tax regulations.  This is a commonsense distinction because OIRA review and cost-benefit considerations</w:t>
      </w:r>
      <w:r w:rsidR="0033606C" w:rsidRPr="0033606C">
        <w:rPr>
          <w:rFonts w:ascii="Century Schoolbook" w:hAnsi="Century Schoolbook" w:cs="Times New Roman"/>
        </w:rPr>
        <w:t xml:space="preserve"> should be focusing on the distortionary impacts of regulatory choices, not money transferred to the fisc.  This modification of the existing language in EO 12,866 was necessary to fit the existing system to the way tax regulations work.  At the </w:t>
      </w:r>
      <w:hyperlink r:id="rId15" w:history="1">
        <w:r w:rsidR="0033606C" w:rsidRPr="0033606C">
          <w:rPr>
            <w:rStyle w:val="Hyperlink"/>
            <w:rFonts w:ascii="Century Schoolbook" w:hAnsi="Century Schoolbook" w:cs="Times New Roman"/>
          </w:rPr>
          <w:t>hearing</w:t>
        </w:r>
      </w:hyperlink>
      <w:r w:rsidR="0033606C" w:rsidRPr="0033606C">
        <w:rPr>
          <w:rFonts w:ascii="Century Schoolbook" w:hAnsi="Century Schoolbook" w:cs="Times New Roman"/>
        </w:rPr>
        <w:t xml:space="preserve">, Senator Lankford asked McIntosh which rules from the 2017 tax cuts may meet this threshold.  McIntosh estimated that rules related to pass-through entities, interest expense deductions, bonus depreciation, section 199A, partnerships under section 512, and section 951A could now be subject to OIRA review. </w:t>
      </w:r>
    </w:p>
    <w:p w:rsidR="0092237F" w:rsidRPr="0033606C" w:rsidRDefault="0092237F" w:rsidP="001247C1">
      <w:pPr>
        <w:spacing w:after="0" w:line="240" w:lineRule="auto"/>
        <w:rPr>
          <w:rFonts w:ascii="Century Schoolbook" w:hAnsi="Century Schoolbook" w:cs="Times New Roman"/>
        </w:rPr>
      </w:pPr>
    </w:p>
    <w:p w:rsidR="0033606C" w:rsidRPr="0033606C" w:rsidRDefault="0033606C" w:rsidP="001247C1">
      <w:pPr>
        <w:spacing w:after="0" w:line="240" w:lineRule="auto"/>
        <w:rPr>
          <w:rFonts w:ascii="Century Schoolbook" w:hAnsi="Century Schoolbook" w:cs="Times New Roman"/>
          <w:b/>
        </w:rPr>
      </w:pPr>
      <w:r w:rsidRPr="0033606C">
        <w:rPr>
          <w:rFonts w:ascii="Century Schoolbook" w:hAnsi="Century Schoolbook" w:cs="Times New Roman"/>
          <w:b/>
        </w:rPr>
        <w:t>The New MOA Puts OIRA in Control</w:t>
      </w:r>
    </w:p>
    <w:p w:rsidR="0092237F" w:rsidRPr="0033606C" w:rsidRDefault="0092237F" w:rsidP="001247C1">
      <w:pPr>
        <w:spacing w:after="0" w:line="240" w:lineRule="auto"/>
        <w:rPr>
          <w:rFonts w:ascii="Century Schoolbook" w:hAnsi="Century Schoolbook" w:cs="Times New Roman"/>
        </w:rPr>
      </w:pPr>
    </w:p>
    <w:p w:rsidR="0092237F" w:rsidRPr="0033606C" w:rsidRDefault="0092237F" w:rsidP="001247C1">
      <w:pPr>
        <w:spacing w:after="0" w:line="240" w:lineRule="auto"/>
        <w:rPr>
          <w:rFonts w:ascii="Century Schoolbook" w:hAnsi="Century Schoolbook" w:cs="Times New Roman"/>
        </w:rPr>
      </w:pPr>
      <w:r w:rsidRPr="0033606C">
        <w:rPr>
          <w:rFonts w:ascii="Century Schoolbook" w:hAnsi="Century Schoolbook" w:cs="Times New Roman"/>
        </w:rPr>
        <w:t xml:space="preserve">The </w:t>
      </w:r>
      <w:r w:rsidR="0033606C" w:rsidRPr="0033606C">
        <w:rPr>
          <w:rFonts w:ascii="Century Schoolbook" w:hAnsi="Century Schoolbook" w:cs="Times New Roman"/>
        </w:rPr>
        <w:t xml:space="preserve">new </w:t>
      </w:r>
      <w:r w:rsidRPr="0033606C">
        <w:rPr>
          <w:rFonts w:ascii="Century Schoolbook" w:hAnsi="Century Schoolbook" w:cs="Times New Roman"/>
        </w:rPr>
        <w:t xml:space="preserve">agreement includes an important provision that bars Treasury from rushing rules out the door to the </w:t>
      </w:r>
      <w:r w:rsidRPr="0033606C">
        <w:rPr>
          <w:rFonts w:ascii="Century Schoolbook" w:hAnsi="Century Schoolbook" w:cs="Times New Roman"/>
          <w:i/>
        </w:rPr>
        <w:t>Federal Register</w:t>
      </w:r>
      <w:r w:rsidRPr="0033606C">
        <w:rPr>
          <w:rFonts w:ascii="Century Schoolbook" w:hAnsi="Century Schoolbook" w:cs="Times New Roman"/>
        </w:rPr>
        <w:t xml:space="preserve"> before OIRA has signed off.</w:t>
      </w:r>
    </w:p>
    <w:p w:rsidR="0092237F" w:rsidRPr="0033606C" w:rsidRDefault="0092237F" w:rsidP="001247C1">
      <w:pPr>
        <w:spacing w:after="0" w:line="240" w:lineRule="auto"/>
        <w:rPr>
          <w:rFonts w:ascii="Century Schoolbook" w:hAnsi="Century Schoolbook" w:cs="Times New Roman"/>
        </w:rPr>
      </w:pPr>
    </w:p>
    <w:p w:rsidR="0092237F" w:rsidRPr="0033606C" w:rsidRDefault="0092237F" w:rsidP="001247C1">
      <w:pPr>
        <w:spacing w:after="0" w:line="240" w:lineRule="auto"/>
        <w:rPr>
          <w:rFonts w:ascii="Century Schoolbook" w:hAnsi="Century Schoolbook" w:cs="Times New Roman"/>
        </w:rPr>
      </w:pPr>
      <w:r w:rsidRPr="0033606C">
        <w:rPr>
          <w:rFonts w:ascii="Century Schoolbook" w:hAnsi="Century Schoolbook" w:cs="Times New Roman"/>
          <w:noProof/>
        </w:rPr>
        <w:drawing>
          <wp:inline distT="0" distB="0" distL="0" distR="0">
            <wp:extent cx="5939790" cy="1137285"/>
            <wp:effectExtent l="0" t="0" r="3810" b="5715"/>
            <wp:docPr id="2" name="Picture 2" descr="C:\Users\James.Valv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Valvo\Desktop\downloa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137285"/>
                    </a:xfrm>
                    <a:prstGeom prst="rect">
                      <a:avLst/>
                    </a:prstGeom>
                    <a:noFill/>
                    <a:ln>
                      <a:noFill/>
                    </a:ln>
                  </pic:spPr>
                </pic:pic>
              </a:graphicData>
            </a:graphic>
          </wp:inline>
        </w:drawing>
      </w:r>
    </w:p>
    <w:p w:rsidR="0033606C" w:rsidRPr="0033606C" w:rsidRDefault="0033606C" w:rsidP="001247C1">
      <w:pPr>
        <w:spacing w:after="0" w:line="240" w:lineRule="auto"/>
        <w:rPr>
          <w:rFonts w:ascii="Century Schoolbook" w:hAnsi="Century Schoolbook" w:cs="Times New Roman"/>
        </w:rPr>
      </w:pPr>
      <w:r w:rsidRPr="0033606C">
        <w:rPr>
          <w:rFonts w:ascii="Century Schoolbook" w:hAnsi="Century Schoolbook" w:cs="Times New Roman"/>
        </w:rPr>
        <w:t>In order for the president and the White House to properly oversee the Executive Branch, they must be able to control its regulatory actions.  This provision makes it explicit that OIRA gets the final say.</w:t>
      </w:r>
    </w:p>
    <w:p w:rsidR="0033606C" w:rsidRPr="0033606C" w:rsidRDefault="0033606C" w:rsidP="001247C1">
      <w:pPr>
        <w:spacing w:after="0" w:line="240" w:lineRule="auto"/>
        <w:rPr>
          <w:rFonts w:ascii="Century Schoolbook" w:hAnsi="Century Schoolbook" w:cs="Times New Roman"/>
        </w:rPr>
      </w:pPr>
    </w:p>
    <w:p w:rsidR="0033606C" w:rsidRPr="0033606C" w:rsidRDefault="0033606C" w:rsidP="001247C1">
      <w:pPr>
        <w:spacing w:after="0" w:line="240" w:lineRule="auto"/>
        <w:rPr>
          <w:rFonts w:ascii="Century Schoolbook" w:hAnsi="Century Schoolbook" w:cs="Times New Roman"/>
          <w:b/>
        </w:rPr>
      </w:pPr>
      <w:r w:rsidRPr="0033606C">
        <w:rPr>
          <w:rFonts w:ascii="Century Schoolbook" w:hAnsi="Century Schoolbook" w:cs="Times New Roman"/>
          <w:b/>
        </w:rPr>
        <w:t>Agreement Addresses Concerns about Delay and Expertise</w:t>
      </w:r>
    </w:p>
    <w:p w:rsidR="0033606C" w:rsidRPr="0033606C" w:rsidRDefault="0033606C" w:rsidP="001247C1">
      <w:pPr>
        <w:spacing w:after="0" w:line="240" w:lineRule="auto"/>
        <w:rPr>
          <w:rFonts w:ascii="Century Schoolbook" w:hAnsi="Century Schoolbook" w:cs="Times New Roman"/>
        </w:rPr>
      </w:pPr>
    </w:p>
    <w:p w:rsidR="0033606C" w:rsidRPr="0033606C" w:rsidRDefault="0033606C" w:rsidP="001247C1">
      <w:pPr>
        <w:spacing w:after="0" w:line="240" w:lineRule="auto"/>
        <w:rPr>
          <w:rFonts w:ascii="Century Schoolbook" w:hAnsi="Century Schoolbook" w:cs="Times New Roman"/>
        </w:rPr>
      </w:pPr>
      <w:r w:rsidRPr="0033606C">
        <w:rPr>
          <w:rFonts w:ascii="Century Schoolbook" w:hAnsi="Century Schoolbook" w:cs="Times New Roman"/>
        </w:rPr>
        <w:t xml:space="preserve">Perhaps the biggest pushback against subjecting tax regulations to the same review that applies to other agencies’ rules was </w:t>
      </w:r>
      <w:hyperlink r:id="rId17" w:history="1">
        <w:r w:rsidRPr="00A56577">
          <w:rPr>
            <w:rStyle w:val="Hyperlink"/>
            <w:rFonts w:ascii="Century Schoolbook" w:hAnsi="Century Schoolbook" w:cs="Times New Roman"/>
          </w:rPr>
          <w:t>concerns about delay</w:t>
        </w:r>
      </w:hyperlink>
      <w:r w:rsidRPr="0033606C">
        <w:rPr>
          <w:rFonts w:ascii="Century Schoolbook" w:hAnsi="Century Schoolbook" w:cs="Times New Roman"/>
        </w:rPr>
        <w:t xml:space="preserve">.  The new agreement addresses </w:t>
      </w:r>
      <w:r w:rsidR="00A56577">
        <w:rPr>
          <w:rFonts w:ascii="Century Schoolbook" w:hAnsi="Century Schoolbook" w:cs="Times New Roman"/>
        </w:rPr>
        <w:t>that issue</w:t>
      </w:r>
      <w:r w:rsidRPr="0033606C">
        <w:rPr>
          <w:rFonts w:ascii="Century Schoolbook" w:hAnsi="Century Schoolbook" w:cs="Times New Roman"/>
        </w:rPr>
        <w:t xml:space="preserve"> by putting a 45-day clock on OIRA re</w:t>
      </w:r>
      <w:r w:rsidR="00A56577">
        <w:rPr>
          <w:rFonts w:ascii="Century Schoolbook" w:hAnsi="Century Schoolbook" w:cs="Times New Roman"/>
        </w:rPr>
        <w:t>view and a special 10-buisiness-</w:t>
      </w:r>
      <w:r w:rsidRPr="0033606C">
        <w:rPr>
          <w:rFonts w:ascii="Century Schoolbook" w:hAnsi="Century Schoolbook" w:cs="Times New Roman"/>
        </w:rPr>
        <w:t xml:space="preserve">day expedited review for rules stemming from the 2017 tax cuts.  Responding to concerns about OIRA’s expertise, Administrator Naomi Rao </w:t>
      </w:r>
      <w:hyperlink r:id="rId18" w:history="1">
        <w:r w:rsidRPr="0033606C">
          <w:rPr>
            <w:rStyle w:val="Hyperlink"/>
            <w:rFonts w:ascii="Century Schoolbook" w:hAnsi="Century Schoolbook" w:cs="Times New Roman"/>
          </w:rPr>
          <w:t>announced</w:t>
        </w:r>
      </w:hyperlink>
      <w:r w:rsidRPr="0033606C">
        <w:rPr>
          <w:rFonts w:ascii="Century Schoolbook" w:hAnsi="Century Schoolbook" w:cs="Times New Roman"/>
        </w:rPr>
        <w:t xml:space="preserve"> that Minnesota Law Professor and tax administration expert Kristin Hickman was joining OIRA as an advisor.  And OMB has been </w:t>
      </w:r>
      <w:hyperlink r:id="rId19" w:history="1">
        <w:r w:rsidRPr="0033606C">
          <w:rPr>
            <w:rStyle w:val="Hyperlink"/>
            <w:rFonts w:ascii="Century Schoolbook" w:hAnsi="Century Schoolbook" w:cs="Times New Roman"/>
          </w:rPr>
          <w:t>staffing up</w:t>
        </w:r>
      </w:hyperlink>
      <w:r w:rsidRPr="0033606C">
        <w:rPr>
          <w:rFonts w:ascii="Century Schoolbook" w:hAnsi="Century Schoolbook" w:cs="Times New Roman"/>
        </w:rPr>
        <w:t xml:space="preserve"> on other tax experts as well.</w:t>
      </w:r>
    </w:p>
    <w:p w:rsidR="0033606C" w:rsidRPr="0033606C" w:rsidRDefault="0033606C" w:rsidP="001247C1">
      <w:pPr>
        <w:spacing w:after="0" w:line="240" w:lineRule="auto"/>
        <w:rPr>
          <w:rFonts w:ascii="Century Schoolbook" w:hAnsi="Century Schoolbook" w:cs="Times New Roman"/>
        </w:rPr>
      </w:pPr>
    </w:p>
    <w:p w:rsidR="000573B1" w:rsidRPr="0033606C" w:rsidRDefault="000573B1" w:rsidP="001247C1">
      <w:pPr>
        <w:spacing w:after="0" w:line="240" w:lineRule="auto"/>
        <w:rPr>
          <w:rFonts w:ascii="Century Schoolbook" w:hAnsi="Century Schoolbook" w:cs="Times New Roman"/>
          <w:b/>
        </w:rPr>
      </w:pPr>
      <w:r w:rsidRPr="0033606C">
        <w:rPr>
          <w:rFonts w:ascii="Century Schoolbook" w:hAnsi="Century Schoolbook" w:cs="Times New Roman"/>
          <w:b/>
        </w:rPr>
        <w:t>Concerns about the New Agreement</w:t>
      </w:r>
    </w:p>
    <w:p w:rsidR="00481B35" w:rsidRPr="0033606C" w:rsidRDefault="00481B35" w:rsidP="001247C1">
      <w:pPr>
        <w:spacing w:after="0" w:line="240" w:lineRule="auto"/>
        <w:rPr>
          <w:rFonts w:ascii="Century Schoolbook" w:hAnsi="Century Schoolbook" w:cs="Times New Roman"/>
        </w:rPr>
      </w:pPr>
    </w:p>
    <w:p w:rsidR="0033606C" w:rsidRPr="0033606C" w:rsidRDefault="00481B35" w:rsidP="0033606C">
      <w:pPr>
        <w:spacing w:after="0" w:line="240" w:lineRule="auto"/>
        <w:rPr>
          <w:rFonts w:ascii="Century Schoolbook" w:hAnsi="Century Schoolbook" w:cs="Times New Roman"/>
        </w:rPr>
      </w:pPr>
      <w:r w:rsidRPr="0033606C">
        <w:rPr>
          <w:rFonts w:ascii="Century Schoolbook" w:hAnsi="Century Schoolbook" w:cs="Times New Roman"/>
        </w:rPr>
        <w:t xml:space="preserve">There is at least one </w:t>
      </w:r>
      <w:r w:rsidR="0033606C" w:rsidRPr="0033606C">
        <w:rPr>
          <w:rFonts w:ascii="Century Schoolbook" w:hAnsi="Century Schoolbook" w:cs="Times New Roman"/>
        </w:rPr>
        <w:t xml:space="preserve">concern about the agreement.  It only applies to “tax regulatory actions,” which the agreement gives the same meaning as “regulatory actions” in EO 12,866.  That definition covers “any substantive action by an agency (normally published in the Federal Register) that promulgates or is expected to lead to the promulgation of a final rule or regulation, including notices of inquiry, advance notices of proposed rulemaking, and notices of proposed rulemaking.”  Noticeably absent from this definition are interpretative rules that are not published in the </w:t>
      </w:r>
      <w:r w:rsidR="0033606C" w:rsidRPr="0033606C">
        <w:rPr>
          <w:rFonts w:ascii="Century Schoolbook" w:hAnsi="Century Schoolbook" w:cs="Times New Roman"/>
          <w:i/>
        </w:rPr>
        <w:t>Federal Register</w:t>
      </w:r>
      <w:r w:rsidR="0033606C" w:rsidRPr="0033606C">
        <w:rPr>
          <w:rFonts w:ascii="Century Schoolbook" w:hAnsi="Century Schoolbook" w:cs="Times New Roman"/>
        </w:rPr>
        <w:t xml:space="preserve">.  The IRS is notorious for trying to claim that its rules are interpretative and do not need to follow the strictures of </w:t>
      </w:r>
      <w:r w:rsidR="0033606C" w:rsidRPr="0033606C">
        <w:rPr>
          <w:rFonts w:ascii="Century Schoolbook" w:hAnsi="Century Schoolbook" w:cs="Times New Roman"/>
        </w:rPr>
        <w:lastRenderedPageBreak/>
        <w:t>the</w:t>
      </w:r>
      <w:r w:rsidR="00A56577">
        <w:rPr>
          <w:rFonts w:ascii="Century Schoolbook" w:hAnsi="Century Schoolbook" w:cs="Times New Roman"/>
        </w:rPr>
        <w:t xml:space="preserve"> Administrative Procedure Act.  (CoA Institute recently filed </w:t>
      </w:r>
      <w:hyperlink r:id="rId20" w:history="1">
        <w:r w:rsidR="00A56577" w:rsidRPr="00A56577">
          <w:rPr>
            <w:rStyle w:val="Hyperlink"/>
            <w:rFonts w:ascii="Century Schoolbook" w:hAnsi="Century Schoolbook" w:cs="Times New Roman"/>
          </w:rPr>
          <w:t>an amicus brief</w:t>
        </w:r>
      </w:hyperlink>
      <w:r w:rsidR="00A56577">
        <w:rPr>
          <w:rFonts w:ascii="Century Schoolbook" w:hAnsi="Century Schoolbook" w:cs="Times New Roman"/>
        </w:rPr>
        <w:t xml:space="preserve"> in a case challenging this behavior.)  </w:t>
      </w:r>
      <w:r w:rsidR="0033606C" w:rsidRPr="0033606C">
        <w:rPr>
          <w:rFonts w:ascii="Century Schoolbook" w:hAnsi="Century Schoolbook" w:cs="Times New Roman"/>
        </w:rPr>
        <w:t>It r</w:t>
      </w:r>
      <w:bookmarkStart w:id="0" w:name="_GoBack"/>
      <w:bookmarkEnd w:id="0"/>
      <w:r w:rsidR="0033606C" w:rsidRPr="0033606C">
        <w:rPr>
          <w:rFonts w:ascii="Century Schoolbook" w:hAnsi="Century Schoolbook" w:cs="Times New Roman"/>
        </w:rPr>
        <w:t xml:space="preserve">emains to be seen whether the IRS and Treasury will try to assert that interpretative rules do not meet the definition of a “regulatory action” under EO 12,866 and thus do not need to be sent to OIRA for review.  A fair reading of the term “regulatory action” should include interpretative rules, even under the IRS’s improperly broad definition of that term.  </w:t>
      </w: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r w:rsidRPr="0033606C">
        <w:rPr>
          <w:rFonts w:ascii="Century Schoolbook" w:hAnsi="Century Schoolbook" w:cs="Times New Roman"/>
        </w:rPr>
        <w:t xml:space="preserve">But overall a dramatic improvement in the oversight of tax regulations and milestone in the project to end so-called tax exceptionalism and bring IRS under the same administrative law as everyone else. </w:t>
      </w: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r w:rsidRPr="0033606C">
        <w:rPr>
          <w:rFonts w:ascii="Century Schoolbook" w:hAnsi="Century Schoolbook" w:cs="Times New Roman"/>
          <w:i/>
          <w:iCs/>
        </w:rPr>
        <w:t>James Valvo is Counsel and Senior Policy Advisor at Cause of Action Institute.  He is the principal author of </w:t>
      </w:r>
      <w:hyperlink r:id="rId21" w:history="1">
        <w:r w:rsidRPr="0033606C">
          <w:rPr>
            <w:rStyle w:val="Hyperlink"/>
            <w:rFonts w:ascii="Century Schoolbook" w:hAnsi="Century Schoolbook" w:cs="Times New Roman"/>
            <w:b/>
            <w:bCs/>
          </w:rPr>
          <w:t>Evading Oversight</w:t>
        </w:r>
      </w:hyperlink>
      <w:r w:rsidRPr="0033606C">
        <w:rPr>
          <w:rFonts w:ascii="Century Schoolbook" w:hAnsi="Century Schoolbook" w:cs="Times New Roman"/>
          <w:i/>
          <w:iCs/>
        </w:rPr>
        <w:t>.  You can follow him on Twitter </w:t>
      </w:r>
      <w:hyperlink r:id="rId22" w:history="1">
        <w:r w:rsidRPr="0033606C">
          <w:rPr>
            <w:rStyle w:val="Hyperlink"/>
            <w:rFonts w:ascii="Century Schoolbook" w:hAnsi="Century Schoolbook" w:cs="Times New Roman"/>
            <w:b/>
            <w:bCs/>
            <w:i/>
            <w:iCs/>
          </w:rPr>
          <w:t>@JamesValvo</w:t>
        </w:r>
      </w:hyperlink>
      <w:r w:rsidRPr="0033606C">
        <w:rPr>
          <w:rFonts w:ascii="Century Schoolbook" w:hAnsi="Century Schoolbook" w:cs="Times New Roman"/>
          <w:i/>
          <w:iCs/>
        </w:rPr>
        <w:t>.</w:t>
      </w: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p w:rsidR="0033606C" w:rsidRPr="0033606C" w:rsidRDefault="0033606C" w:rsidP="0033606C">
      <w:pPr>
        <w:spacing w:after="0" w:line="240" w:lineRule="auto"/>
        <w:rPr>
          <w:rFonts w:ascii="Century Schoolbook" w:hAnsi="Century Schoolbook" w:cs="Times New Roman"/>
        </w:rPr>
      </w:pPr>
    </w:p>
    <w:sectPr w:rsidR="0033606C" w:rsidRPr="00336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84" w:rsidRDefault="00F46184" w:rsidP="001247C1">
      <w:pPr>
        <w:spacing w:after="0" w:line="240" w:lineRule="auto"/>
      </w:pPr>
      <w:r>
        <w:separator/>
      </w:r>
    </w:p>
  </w:endnote>
  <w:endnote w:type="continuationSeparator" w:id="0">
    <w:p w:rsidR="00F46184" w:rsidRDefault="00F46184" w:rsidP="0012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84" w:rsidRDefault="00F46184" w:rsidP="001247C1">
      <w:pPr>
        <w:spacing w:after="0" w:line="240" w:lineRule="auto"/>
      </w:pPr>
      <w:r>
        <w:separator/>
      </w:r>
    </w:p>
  </w:footnote>
  <w:footnote w:type="continuationSeparator" w:id="0">
    <w:p w:rsidR="00F46184" w:rsidRDefault="00F46184" w:rsidP="00124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87"/>
    <w:rsid w:val="000573B1"/>
    <w:rsid w:val="001247C1"/>
    <w:rsid w:val="00315057"/>
    <w:rsid w:val="0033606C"/>
    <w:rsid w:val="0039573E"/>
    <w:rsid w:val="00481B35"/>
    <w:rsid w:val="005F66A8"/>
    <w:rsid w:val="00916F10"/>
    <w:rsid w:val="0092237F"/>
    <w:rsid w:val="009B62C5"/>
    <w:rsid w:val="00A37E51"/>
    <w:rsid w:val="00A56577"/>
    <w:rsid w:val="00C73B87"/>
    <w:rsid w:val="00D5507B"/>
    <w:rsid w:val="00F46184"/>
    <w:rsid w:val="00FB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C364"/>
  <w15:chartTrackingRefBased/>
  <w15:docId w15:val="{D53FD035-3D54-496B-AF8E-DCE23E82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C1"/>
  </w:style>
  <w:style w:type="paragraph" w:styleId="Footer">
    <w:name w:val="footer"/>
    <w:basedOn w:val="Normal"/>
    <w:link w:val="FooterChar"/>
    <w:uiPriority w:val="99"/>
    <w:unhideWhenUsed/>
    <w:rsid w:val="0012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7C1"/>
  </w:style>
  <w:style w:type="character" w:styleId="Hyperlink">
    <w:name w:val="Hyperlink"/>
    <w:basedOn w:val="DefaultParagraphFont"/>
    <w:uiPriority w:val="99"/>
    <w:unhideWhenUsed/>
    <w:rsid w:val="00922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jsp/Utilities/EO_12866.pdf" TargetMode="External"/><Relationship Id="rId13" Type="http://schemas.openxmlformats.org/officeDocument/2006/relationships/hyperlink" Target="https://www.hsgac.senate.gov/hearings/reviewing-the-office-of-information-and-regulatory-affairs" TargetMode="External"/><Relationship Id="rId18" Type="http://schemas.openxmlformats.org/officeDocument/2006/relationships/hyperlink" Target="https://twitter.com/cherylbolen/status/984453725422063616" TargetMode="External"/><Relationship Id="rId3" Type="http://schemas.openxmlformats.org/officeDocument/2006/relationships/webSettings" Target="webSettings.xml"/><Relationship Id="rId21" Type="http://schemas.openxmlformats.org/officeDocument/2006/relationships/hyperlink" Target="https://causeofaction.org/evading-oversight-origins-implications-irs-claim-rules-not-economic-impact/" TargetMode="External"/><Relationship Id="rId7" Type="http://schemas.openxmlformats.org/officeDocument/2006/relationships/hyperlink" Target="https://home.treasury.gov/sites/default/files/2018-04/04-11%20Signed%20Treasury%20OIRA%20MOA.pdf" TargetMode="External"/><Relationship Id="rId12" Type="http://schemas.openxmlformats.org/officeDocument/2006/relationships/image" Target="media/image1.png"/><Relationship Id="rId17" Type="http://schemas.openxmlformats.org/officeDocument/2006/relationships/hyperlink" Target="http://thehill.com/opinion/finance/379009-keep-the-white-house-away-from-the-irs"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causeofaction.org/sixth-circuit-should-follow-supreme-courts-precedent-and-recognize-limits-of-anti-injunction-act/" TargetMode="External"/><Relationship Id="rId1" Type="http://schemas.openxmlformats.org/officeDocument/2006/relationships/styles" Target="styles.xml"/><Relationship Id="rId6" Type="http://schemas.openxmlformats.org/officeDocument/2006/relationships/hyperlink" Target="https://www.nationalreview.com/corner/treasury-department-office-management-budget-should-overseen/" TargetMode="External"/><Relationship Id="rId11" Type="http://schemas.openxmlformats.org/officeDocument/2006/relationships/hyperlink" Target="https://www.wsj.com/articles/the-story-behind-the-irss-exemption-from-oversight-1519341868"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hsgac.senate.gov/hearings/reviewing-the-office-of-information-and-regulatory-affairs" TargetMode="External"/><Relationship Id="rId23" Type="http://schemas.openxmlformats.org/officeDocument/2006/relationships/fontTable" Target="fontTable.xml"/><Relationship Id="rId10" Type="http://schemas.openxmlformats.org/officeDocument/2006/relationships/hyperlink" Target="https://causeofaction.org/17-groups-end-irs-dodging-oversight/" TargetMode="External"/><Relationship Id="rId19" Type="http://schemas.openxmlformats.org/officeDocument/2006/relationships/hyperlink" Target="https://www.bna.com/omb-hires-tax-n57982090700/" TargetMode="External"/><Relationship Id="rId4" Type="http://schemas.openxmlformats.org/officeDocument/2006/relationships/footnotes" Target="footnotes.xml"/><Relationship Id="rId9" Type="http://schemas.openxmlformats.org/officeDocument/2006/relationships/hyperlink" Target="https://causeofaction.org/evading-oversight-origins-implications-irs-claim-rules-not-economic-impact/" TargetMode="External"/><Relationship Id="rId14" Type="http://schemas.openxmlformats.org/officeDocument/2006/relationships/hyperlink" Target="https://www.reginfo.gov/public/jsp/Utilities/EO_12866.pdf" TargetMode="External"/><Relationship Id="rId22" Type="http://schemas.openxmlformats.org/officeDocument/2006/relationships/hyperlink" Target="https://twitter.com/JamesVal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Valvo</dc:creator>
  <cp:keywords/>
  <dc:description/>
  <cp:lastModifiedBy>James Valvo</cp:lastModifiedBy>
  <cp:revision>7</cp:revision>
  <dcterms:created xsi:type="dcterms:W3CDTF">2018-04-12T13:12:00Z</dcterms:created>
  <dcterms:modified xsi:type="dcterms:W3CDTF">2018-04-13T14:42:00Z</dcterms:modified>
</cp:coreProperties>
</file>